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55" w:rsidRPr="006A5F1D" w:rsidRDefault="00893655" w:rsidP="00893655">
      <w:pPr>
        <w:pStyle w:val="NormaleWeb1"/>
        <w:spacing w:after="0"/>
        <w:ind w:left="567"/>
        <w:jc w:val="center"/>
        <w:rPr>
          <w:rFonts w:ascii="Book Antiqua" w:hAnsi="Book Antiqua" w:cs="Garamond"/>
          <w:b/>
          <w:sz w:val="24"/>
          <w:szCs w:val="24"/>
        </w:rPr>
      </w:pPr>
      <w:bookmarkStart w:id="0" w:name="_GoBack"/>
      <w:bookmarkEnd w:id="0"/>
    </w:p>
    <w:p w:rsidR="00893655" w:rsidRPr="006A5F1D" w:rsidRDefault="00C53B91" w:rsidP="00893655">
      <w:pPr>
        <w:pStyle w:val="NormaleWeb1"/>
        <w:spacing w:after="0"/>
        <w:ind w:left="567"/>
        <w:jc w:val="center"/>
        <w:rPr>
          <w:rFonts w:ascii="Book Antiqua" w:hAnsi="Book Antiqua" w:cs="Garamond"/>
          <w:b/>
          <w:sz w:val="24"/>
          <w:szCs w:val="24"/>
        </w:rPr>
      </w:pPr>
      <w:r>
        <w:rPr>
          <w:rFonts w:ascii="Book Antiqua" w:hAnsi="Book Antiqua" w:cs="Garamond"/>
          <w:b/>
          <w:sz w:val="24"/>
          <w:szCs w:val="24"/>
        </w:rPr>
        <w:t>Art. 14</w:t>
      </w:r>
      <w:r w:rsidR="00893655" w:rsidRPr="006A5F1D">
        <w:rPr>
          <w:rFonts w:ascii="Book Antiqua" w:hAnsi="Book Antiqua" w:cs="Garamond"/>
          <w:b/>
          <w:sz w:val="24"/>
          <w:szCs w:val="24"/>
        </w:rPr>
        <w:t xml:space="preserve"> – Importi e modalità di utilizzo del Fondo.</w:t>
      </w:r>
    </w:p>
    <w:p w:rsidR="00893655" w:rsidRPr="006A5F1D" w:rsidRDefault="00893655" w:rsidP="00893655">
      <w:pPr>
        <w:pStyle w:val="NormaleWeb1"/>
        <w:numPr>
          <w:ilvl w:val="0"/>
          <w:numId w:val="1"/>
        </w:numPr>
        <w:tabs>
          <w:tab w:val="clear" w:pos="720"/>
          <w:tab w:val="num" w:pos="426"/>
        </w:tabs>
        <w:spacing w:after="0"/>
        <w:ind w:left="426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Ai sensi dell’art. 27 commi 3 e 4 del Regolamento per l’Amministrazione, la Finanza e la Contabilità si provvede con il fondo economale alla restituzione delle seguenti spese:</w:t>
      </w:r>
    </w:p>
    <w:p w:rsidR="00893655" w:rsidRPr="00274A8A" w:rsidRDefault="00893655" w:rsidP="00893655">
      <w:pPr>
        <w:pStyle w:val="NormaleWeb1"/>
        <w:spacing w:before="0" w:after="0"/>
        <w:ind w:left="567"/>
        <w:jc w:val="both"/>
        <w:rPr>
          <w:rFonts w:ascii="Book Antiqua" w:hAnsi="Book Antiqua" w:cs="Garamond"/>
          <w:sz w:val="24"/>
          <w:szCs w:val="24"/>
        </w:rPr>
      </w:pP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spese per piccole riparazioni e manutenzioni di immobili e di locali;</w:t>
      </w: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spese per conferenze;</w:t>
      </w: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spese per anticipo missioni;</w:t>
      </w:r>
    </w:p>
    <w:p w:rsidR="00893655" w:rsidRPr="00274A8A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274A8A">
        <w:rPr>
          <w:rFonts w:ascii="Book Antiqua" w:hAnsi="Book Antiqua" w:cs="Garamond"/>
          <w:sz w:val="24"/>
          <w:szCs w:val="24"/>
        </w:rPr>
        <w:t>spese postali;</w:t>
      </w:r>
    </w:p>
    <w:p w:rsidR="00893655" w:rsidRPr="00274A8A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274A8A">
        <w:rPr>
          <w:rFonts w:ascii="Book Antiqua" w:hAnsi="Book Antiqua" w:cs="Garamond"/>
          <w:sz w:val="24"/>
          <w:szCs w:val="24"/>
        </w:rPr>
        <w:t>spese per il funzionamento degli automezzi;</w:t>
      </w:r>
    </w:p>
    <w:p w:rsidR="00893655" w:rsidRPr="00274A8A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274A8A">
        <w:rPr>
          <w:rFonts w:ascii="Book Antiqua" w:hAnsi="Book Antiqua" w:cs="Garamond"/>
          <w:sz w:val="24"/>
          <w:szCs w:val="24"/>
        </w:rPr>
        <w:t>spese per l'acquisto di pubblicazioni periodiche e simili;</w:t>
      </w:r>
    </w:p>
    <w:p w:rsidR="00893655" w:rsidRPr="00274A8A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274A8A">
        <w:rPr>
          <w:rFonts w:ascii="Book Antiqua" w:hAnsi="Book Antiqua" w:cs="Garamond"/>
          <w:sz w:val="24"/>
          <w:szCs w:val="24"/>
        </w:rPr>
        <w:t>spese per la pubblicazione su riviste straniere;</w:t>
      </w: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spese per quote associative dell'Università degli Studi di Firenze a Enti e Associazioni;</w:t>
      </w: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spese minute per il funzionamento degli uffici;</w:t>
      </w:r>
    </w:p>
    <w:p w:rsidR="00893655" w:rsidRPr="006A5F1D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 xml:space="preserve">spese per iscrizioni a convegni; </w:t>
      </w:r>
    </w:p>
    <w:p w:rsidR="00893655" w:rsidRDefault="00893655" w:rsidP="00893655">
      <w:pPr>
        <w:pStyle w:val="NormaleWeb1"/>
        <w:numPr>
          <w:ilvl w:val="0"/>
          <w:numId w:val="4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nonché spese il cui pagamento in cont</w:t>
      </w:r>
      <w:r w:rsidRPr="00274A8A">
        <w:rPr>
          <w:rFonts w:ascii="Book Antiqua" w:hAnsi="Book Antiqua" w:cs="Garamond"/>
          <w:sz w:val="24"/>
          <w:szCs w:val="24"/>
        </w:rPr>
        <w:t xml:space="preserve">anti </w:t>
      </w:r>
      <w:r>
        <w:rPr>
          <w:rFonts w:ascii="Book Antiqua" w:hAnsi="Book Antiqua" w:cs="Garamond"/>
          <w:sz w:val="24"/>
          <w:szCs w:val="24"/>
        </w:rPr>
        <w:t xml:space="preserve">si renda parimenti necessario o </w:t>
      </w:r>
      <w:r w:rsidRPr="00274A8A">
        <w:rPr>
          <w:rFonts w:ascii="Book Antiqua" w:hAnsi="Book Antiqua" w:cs="Garamond"/>
          <w:sz w:val="24"/>
          <w:szCs w:val="24"/>
        </w:rPr>
        <w:t>urgente.</w:t>
      </w:r>
    </w:p>
    <w:p w:rsidR="00893655" w:rsidRPr="00274A8A" w:rsidRDefault="00893655" w:rsidP="00893655">
      <w:pPr>
        <w:pStyle w:val="NormaleWeb1"/>
        <w:spacing w:before="0" w:after="0"/>
        <w:ind w:left="993"/>
        <w:jc w:val="both"/>
        <w:rPr>
          <w:rFonts w:ascii="Book Antiqua" w:hAnsi="Book Antiqua" w:cs="Garamond"/>
          <w:sz w:val="24"/>
          <w:szCs w:val="24"/>
        </w:rPr>
      </w:pPr>
    </w:p>
    <w:p w:rsidR="00893655" w:rsidRDefault="00893655" w:rsidP="00893655">
      <w:pPr>
        <w:pStyle w:val="NormaleWeb1"/>
        <w:numPr>
          <w:ilvl w:val="0"/>
          <w:numId w:val="2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>
        <w:rPr>
          <w:rFonts w:ascii="Book Antiqua" w:hAnsi="Book Antiqua" w:cs="Garamond"/>
          <w:sz w:val="24"/>
          <w:szCs w:val="24"/>
        </w:rPr>
        <w:t>L</w:t>
      </w:r>
      <w:r w:rsidRPr="00274A8A">
        <w:rPr>
          <w:rFonts w:ascii="Book Antiqua" w:hAnsi="Book Antiqua" w:cs="Garamond"/>
          <w:sz w:val="24"/>
          <w:szCs w:val="24"/>
        </w:rPr>
        <w:t>e spese e gli acquisti previsti dal precedente comma non rientrano tra le fattispecie esplicitamente previste e disciplinate dal Codice dei Contratti (D.lgs 163/2006), dal Regolamento dei contratti e dal Regolamento per le spese in economia dell'Università degli Studi di Firenze.</w:t>
      </w:r>
    </w:p>
    <w:p w:rsidR="00893655" w:rsidRDefault="00893655" w:rsidP="00893655">
      <w:pPr>
        <w:pStyle w:val="NormaleWeb1"/>
        <w:spacing w:before="0" w:after="0"/>
        <w:ind w:left="360"/>
        <w:jc w:val="both"/>
        <w:rPr>
          <w:rFonts w:ascii="Book Antiqua" w:hAnsi="Book Antiqua" w:cs="Garamond"/>
          <w:sz w:val="24"/>
          <w:szCs w:val="24"/>
        </w:rPr>
      </w:pPr>
    </w:p>
    <w:p w:rsidR="00893655" w:rsidRDefault="00893655" w:rsidP="00893655">
      <w:pPr>
        <w:pStyle w:val="NormaleWeb1"/>
        <w:numPr>
          <w:ilvl w:val="0"/>
          <w:numId w:val="2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Quando per l'approvvigionamento occorre un CIG (codice identificativo gara), non è possibile fare ricorso al fondo economale.</w:t>
      </w:r>
    </w:p>
    <w:p w:rsidR="00893655" w:rsidRDefault="00893655" w:rsidP="00893655">
      <w:pPr>
        <w:pStyle w:val="Paragrafoelenco"/>
        <w:rPr>
          <w:rFonts w:ascii="Book Antiqua" w:hAnsi="Book Antiqua" w:cs="Garamond"/>
          <w:szCs w:val="24"/>
        </w:rPr>
      </w:pPr>
    </w:p>
    <w:p w:rsidR="00893655" w:rsidRPr="006A5F1D" w:rsidRDefault="00893655" w:rsidP="00893655">
      <w:pPr>
        <w:pStyle w:val="NormaleWeb1"/>
        <w:numPr>
          <w:ilvl w:val="0"/>
          <w:numId w:val="2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L'ammontare del fondo economale è stabilito, rispettivamente, in:</w:t>
      </w:r>
    </w:p>
    <w:p w:rsidR="00893655" w:rsidRPr="00274A8A" w:rsidRDefault="00893655" w:rsidP="00893655">
      <w:pPr>
        <w:pStyle w:val="NormaleWeb1"/>
        <w:numPr>
          <w:ilvl w:val="0"/>
          <w:numId w:val="3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>
        <w:rPr>
          <w:rFonts w:ascii="Book Antiqua" w:hAnsi="Book Antiqua" w:cs="Garamond"/>
          <w:sz w:val="24"/>
          <w:szCs w:val="24"/>
        </w:rPr>
        <w:t>€</w:t>
      </w:r>
      <w:r w:rsidRPr="00274A8A">
        <w:rPr>
          <w:rFonts w:ascii="Book Antiqua" w:hAnsi="Book Antiqua" w:cs="Garamond"/>
          <w:sz w:val="24"/>
          <w:szCs w:val="24"/>
        </w:rPr>
        <w:t xml:space="preserve"> 15.000 per l'Economo;</w:t>
      </w:r>
    </w:p>
    <w:p w:rsidR="00893655" w:rsidRDefault="00893655" w:rsidP="00893655">
      <w:pPr>
        <w:pStyle w:val="NormaleWeb1"/>
        <w:numPr>
          <w:ilvl w:val="0"/>
          <w:numId w:val="3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>
        <w:rPr>
          <w:rFonts w:ascii="Book Antiqua" w:hAnsi="Book Antiqua" w:cs="Garamond"/>
          <w:sz w:val="24"/>
          <w:szCs w:val="24"/>
        </w:rPr>
        <w:t>€</w:t>
      </w:r>
      <w:r w:rsidRPr="00274A8A">
        <w:rPr>
          <w:rFonts w:ascii="Book Antiqua" w:hAnsi="Book Antiqua" w:cs="Garamond"/>
          <w:sz w:val="24"/>
          <w:szCs w:val="24"/>
        </w:rPr>
        <w:t xml:space="preserve"> 5.000 per i Responsabili amministrativi.</w:t>
      </w:r>
    </w:p>
    <w:p w:rsidR="00893655" w:rsidRDefault="00893655" w:rsidP="00893655">
      <w:pPr>
        <w:pStyle w:val="NormaleWeb1"/>
        <w:spacing w:before="0" w:after="0"/>
        <w:ind w:left="1069"/>
        <w:jc w:val="both"/>
        <w:rPr>
          <w:rFonts w:ascii="Book Antiqua" w:hAnsi="Book Antiqua" w:cs="Garamond"/>
          <w:sz w:val="24"/>
          <w:szCs w:val="24"/>
        </w:rPr>
      </w:pPr>
    </w:p>
    <w:p w:rsidR="00893655" w:rsidRPr="006A5F1D" w:rsidRDefault="00893655" w:rsidP="00893655">
      <w:pPr>
        <w:pStyle w:val="NormaleWeb1"/>
        <w:numPr>
          <w:ilvl w:val="0"/>
          <w:numId w:val="2"/>
        </w:numPr>
        <w:spacing w:before="0" w:after="0"/>
        <w:jc w:val="both"/>
        <w:rPr>
          <w:rFonts w:ascii="Book Antiqua" w:hAnsi="Book Antiqua" w:cs="Garamond"/>
          <w:sz w:val="24"/>
          <w:szCs w:val="24"/>
        </w:rPr>
      </w:pPr>
      <w:r w:rsidRPr="006A5F1D">
        <w:rPr>
          <w:rFonts w:ascii="Book Antiqua" w:hAnsi="Book Antiqua" w:cs="Garamond"/>
          <w:sz w:val="24"/>
          <w:szCs w:val="24"/>
        </w:rPr>
        <w:t>Le spese suddette devono essere, in ogni caso, eccezionali e non ricorrenti e/o improvvise e non programmabili.</w:t>
      </w:r>
    </w:p>
    <w:p w:rsidR="00893655" w:rsidRPr="00274A8A" w:rsidRDefault="00893655" w:rsidP="00893655">
      <w:pPr>
        <w:pStyle w:val="NormaleWeb1"/>
        <w:spacing w:before="0" w:after="0"/>
        <w:ind w:left="567"/>
        <w:jc w:val="both"/>
        <w:rPr>
          <w:rFonts w:ascii="Book Antiqua" w:hAnsi="Book Antiqua" w:cs="Garamond"/>
          <w:sz w:val="24"/>
          <w:szCs w:val="24"/>
        </w:rPr>
      </w:pPr>
    </w:p>
    <w:p w:rsidR="00B61756" w:rsidRDefault="00B61756"/>
    <w:sectPr w:rsidR="00B617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0630"/>
    <w:multiLevelType w:val="multilevel"/>
    <w:tmpl w:val="FBEAC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</w:abstractNum>
  <w:abstractNum w:abstractNumId="1">
    <w:nsid w:val="4B024C9F"/>
    <w:multiLevelType w:val="hybridMultilevel"/>
    <w:tmpl w:val="84FAE5DE"/>
    <w:lvl w:ilvl="0" w:tplc="B88A0C4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580432"/>
    <w:multiLevelType w:val="hybridMultilevel"/>
    <w:tmpl w:val="298E8EE2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563432"/>
    <w:multiLevelType w:val="multilevel"/>
    <w:tmpl w:val="3782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655"/>
    <w:rsid w:val="006524EC"/>
    <w:rsid w:val="00893655"/>
    <w:rsid w:val="00B61756"/>
    <w:rsid w:val="00C5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Web1">
    <w:name w:val="Normale (Web)1"/>
    <w:rsid w:val="00893655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93655"/>
    <w:pPr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Web1">
    <w:name w:val="Normale (Web)1"/>
    <w:rsid w:val="00893655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893655"/>
    <w:pPr>
      <w:suppressAutoHyphens/>
      <w:spacing w:after="0" w:line="240" w:lineRule="auto"/>
      <w:ind w:left="708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Magherini</dc:creator>
  <cp:lastModifiedBy>Stefania</cp:lastModifiedBy>
  <cp:revision>2</cp:revision>
  <dcterms:created xsi:type="dcterms:W3CDTF">2016-04-01T11:58:00Z</dcterms:created>
  <dcterms:modified xsi:type="dcterms:W3CDTF">2016-04-01T11:58:00Z</dcterms:modified>
</cp:coreProperties>
</file>